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4126" w14:textId="38C55429" w:rsidR="00043DBD" w:rsidRPr="00043DBD" w:rsidRDefault="00043DBD" w:rsidP="005A16B1">
      <w:pPr>
        <w:spacing w:after="120"/>
        <w:jc w:val="center"/>
        <w:rPr>
          <w:rFonts w:ascii="Arial Narrow" w:hAnsi="Arial Narrow"/>
          <w:b/>
          <w:bCs/>
          <w:sz w:val="30"/>
          <w:szCs w:val="30"/>
        </w:rPr>
      </w:pPr>
      <w:r w:rsidRPr="00043DBD">
        <w:rPr>
          <w:rFonts w:ascii="Arial Narrow" w:hAnsi="Arial Narrow"/>
          <w:b/>
          <w:bCs/>
          <w:sz w:val="30"/>
          <w:szCs w:val="30"/>
        </w:rPr>
        <w:t>Stanowisko sektora koksowniczego w sprawie rewizji benchmarków EU ETS dla produkcji koksu</w:t>
      </w:r>
    </w:p>
    <w:p w14:paraId="2C9787DE" w14:textId="69F36061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pict w14:anchorId="4C440EAA">
          <v:rect id="_x0000_i1033" style="width:0;height:1.5pt" o:hralign="center" o:hrstd="t" o:hr="t" fillcolor="#a0a0a0" stroked="f"/>
        </w:pict>
      </w:r>
    </w:p>
    <w:p w14:paraId="5DBE40C5" w14:textId="77777777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t>Postulaty</w:t>
      </w:r>
    </w:p>
    <w:p w14:paraId="66C7AA0B" w14:textId="77777777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t>1. Utrzymanie benchmarku dla produkcji koksu</w:t>
      </w:r>
    </w:p>
    <w:p w14:paraId="14D35817" w14:textId="12DAB33D" w:rsidR="00043DBD" w:rsidRPr="00043DBD" w:rsidRDefault="00043DBD" w:rsidP="00043DBD">
      <w:pPr>
        <w:jc w:val="both"/>
        <w:rPr>
          <w:rFonts w:ascii="Arial Narrow" w:hAnsi="Arial Narrow"/>
        </w:rPr>
      </w:pPr>
      <w:r w:rsidRPr="00043DBD">
        <w:rPr>
          <w:rFonts w:ascii="Arial Narrow" w:hAnsi="Arial Narrow"/>
        </w:rPr>
        <w:t>Wnosimy o utrzymanie benchmarku dla produkcji koksu na lata 2026–2030 na poziomie obowiązującym w latach 2021–2025, odstępując od zmian wprowadzonych Rozporządzeniem Wykonawczym Komisji (UE) 2026/1412 z</w:t>
      </w:r>
      <w:r w:rsidR="00265F7A">
        <w:rPr>
          <w:rFonts w:ascii="Arial Narrow" w:hAnsi="Arial Narrow"/>
        </w:rPr>
        <w:t> </w:t>
      </w:r>
      <w:r w:rsidRPr="00043DBD">
        <w:rPr>
          <w:rFonts w:ascii="Arial Narrow" w:hAnsi="Arial Narrow"/>
        </w:rPr>
        <w:t>dnia 26 czerwca 2026 r., które skutkują istotnym obniżeniem benchmarku i ograniczeniem poziomu bezpłatnej alokacji uprawnień do emisji</w:t>
      </w:r>
      <w:r w:rsidR="008044E9">
        <w:rPr>
          <w:rFonts w:ascii="Arial Narrow" w:hAnsi="Arial Narrow"/>
        </w:rPr>
        <w:t xml:space="preserve"> CO</w:t>
      </w:r>
      <w:r w:rsidR="008044E9" w:rsidRPr="008044E9">
        <w:rPr>
          <w:rFonts w:ascii="Arial Narrow" w:hAnsi="Arial Narrow"/>
          <w:vertAlign w:val="subscript"/>
        </w:rPr>
        <w:t>2</w:t>
      </w:r>
      <w:r w:rsidRPr="00043DBD">
        <w:rPr>
          <w:rFonts w:ascii="Arial Narrow" w:hAnsi="Arial Narrow"/>
        </w:rPr>
        <w:t>.</w:t>
      </w:r>
    </w:p>
    <w:p w14:paraId="0AE73A02" w14:textId="6C6E2304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t xml:space="preserve">2. Włączenie sektora koksowniczego do </w:t>
      </w:r>
      <w:r>
        <w:rPr>
          <w:rFonts w:ascii="Arial Narrow" w:hAnsi="Arial Narrow"/>
          <w:b/>
          <w:bCs/>
        </w:rPr>
        <w:t xml:space="preserve">procesu </w:t>
      </w:r>
      <w:r w:rsidRPr="00043DBD">
        <w:rPr>
          <w:rFonts w:ascii="Arial Narrow" w:hAnsi="Arial Narrow"/>
          <w:b/>
          <w:bCs/>
        </w:rPr>
        <w:t>rewizji benchmarków</w:t>
      </w:r>
    </w:p>
    <w:p w14:paraId="63A9156C" w14:textId="703DC18A" w:rsidR="00043DBD" w:rsidRPr="00043DBD" w:rsidRDefault="00043DBD" w:rsidP="00043DBD">
      <w:pPr>
        <w:jc w:val="both"/>
        <w:rPr>
          <w:rFonts w:ascii="Arial Narrow" w:hAnsi="Arial Narrow"/>
        </w:rPr>
      </w:pPr>
      <w:r w:rsidRPr="00043DBD">
        <w:rPr>
          <w:rFonts w:ascii="Arial Narrow" w:hAnsi="Arial Narrow"/>
        </w:rPr>
        <w:t xml:space="preserve">Wnosimy o </w:t>
      </w:r>
      <w:r w:rsidR="008044E9">
        <w:rPr>
          <w:rFonts w:ascii="Arial Narrow" w:hAnsi="Arial Narrow"/>
        </w:rPr>
        <w:t xml:space="preserve">włączenie </w:t>
      </w:r>
      <w:r w:rsidRPr="00043DBD">
        <w:rPr>
          <w:rFonts w:ascii="Arial Narrow" w:hAnsi="Arial Narrow"/>
        </w:rPr>
        <w:t>polskiego koksowni</w:t>
      </w:r>
      <w:r w:rsidR="008044E9">
        <w:rPr>
          <w:rFonts w:ascii="Arial Narrow" w:hAnsi="Arial Narrow"/>
        </w:rPr>
        <w:t>ctwa</w:t>
      </w:r>
      <w:r w:rsidRPr="00043DBD">
        <w:rPr>
          <w:rFonts w:ascii="Arial Narrow" w:hAnsi="Arial Narrow"/>
        </w:rPr>
        <w:t xml:space="preserve"> </w:t>
      </w:r>
      <w:r w:rsidR="008044E9">
        <w:rPr>
          <w:rFonts w:ascii="Arial Narrow" w:hAnsi="Arial Narrow"/>
        </w:rPr>
        <w:t xml:space="preserve">do </w:t>
      </w:r>
      <w:r w:rsidRPr="00043DBD">
        <w:rPr>
          <w:rFonts w:ascii="Arial Narrow" w:hAnsi="Arial Narrow"/>
        </w:rPr>
        <w:t>proces</w:t>
      </w:r>
      <w:r w:rsidR="008044E9">
        <w:rPr>
          <w:rFonts w:ascii="Arial Narrow" w:hAnsi="Arial Narrow"/>
        </w:rPr>
        <w:t>u</w:t>
      </w:r>
      <w:r w:rsidRPr="00043DBD">
        <w:rPr>
          <w:rFonts w:ascii="Arial Narrow" w:hAnsi="Arial Narrow"/>
        </w:rPr>
        <w:t xml:space="preserve"> rewizji sektorowych benchmarków zastępczych zapowiedzianym przez Komisję Europejską do 15 lipca 2026 r. Branża koksownicza nie została uwzględniona w</w:t>
      </w:r>
      <w:r w:rsidR="008044E9">
        <w:rPr>
          <w:rFonts w:ascii="Arial Narrow" w:hAnsi="Arial Narrow"/>
        </w:rPr>
        <w:t> </w:t>
      </w:r>
      <w:r w:rsidRPr="00043DBD">
        <w:rPr>
          <w:rFonts w:ascii="Arial Narrow" w:hAnsi="Arial Narrow"/>
        </w:rPr>
        <w:t>tym procesie, mimo że skutki nowych benchmarków dotykają ją w sposób bezpośredni.</w:t>
      </w:r>
    </w:p>
    <w:p w14:paraId="68A7C100" w14:textId="77777777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pict w14:anchorId="32095265">
          <v:rect id="_x0000_i1031" style="width:0;height:1.5pt" o:hralign="center" o:hrstd="t" o:hr="t" fillcolor="#a0a0a0" stroked="f"/>
        </w:pict>
      </w:r>
    </w:p>
    <w:p w14:paraId="06A40501" w14:textId="5A73C0E5" w:rsidR="00043DBD" w:rsidRPr="00043DBD" w:rsidRDefault="00043DBD" w:rsidP="00043DBD">
      <w:pPr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t xml:space="preserve">Dlaczego sektor koksowniczy powinien zostać objęty </w:t>
      </w:r>
      <w:r w:rsidR="008044E9">
        <w:rPr>
          <w:rFonts w:ascii="Arial Narrow" w:hAnsi="Arial Narrow"/>
          <w:b/>
          <w:bCs/>
        </w:rPr>
        <w:t xml:space="preserve">procesem </w:t>
      </w:r>
      <w:r w:rsidRPr="00043DBD">
        <w:rPr>
          <w:rFonts w:ascii="Arial Narrow" w:hAnsi="Arial Narrow"/>
          <w:b/>
          <w:bCs/>
        </w:rPr>
        <w:t>rewizj</w:t>
      </w:r>
      <w:r w:rsidR="008044E9">
        <w:rPr>
          <w:rFonts w:ascii="Arial Narrow" w:hAnsi="Arial Narrow"/>
          <w:b/>
          <w:bCs/>
        </w:rPr>
        <w:t>i</w:t>
      </w:r>
      <w:r w:rsidRPr="00043DBD">
        <w:rPr>
          <w:rFonts w:ascii="Arial Narrow" w:hAnsi="Arial Narrow"/>
          <w:b/>
          <w:bCs/>
        </w:rPr>
        <w:t>?</w:t>
      </w:r>
    </w:p>
    <w:p w14:paraId="5D60AF55" w14:textId="00CF009D" w:rsidR="00043DBD" w:rsidRPr="00043DBD" w:rsidRDefault="00043DBD" w:rsidP="00265F7A">
      <w:pPr>
        <w:pStyle w:val="Akapitzlist"/>
        <w:numPr>
          <w:ilvl w:val="0"/>
          <w:numId w:val="7"/>
        </w:numPr>
        <w:ind w:left="426"/>
        <w:jc w:val="both"/>
        <w:rPr>
          <w:rFonts w:ascii="Arial Narrow" w:hAnsi="Arial Narrow"/>
          <w:b/>
          <w:bCs/>
        </w:rPr>
      </w:pPr>
      <w:r w:rsidRPr="00043DBD">
        <w:rPr>
          <w:rFonts w:ascii="Arial Narrow" w:hAnsi="Arial Narrow"/>
          <w:b/>
          <w:bCs/>
        </w:rPr>
        <w:t>Brak spójności polityki surowcowej i klimatycznej UE</w:t>
      </w:r>
    </w:p>
    <w:p w14:paraId="4EE04547" w14:textId="69C42D19" w:rsidR="00043DBD" w:rsidRPr="00043DBD" w:rsidRDefault="00043DBD" w:rsidP="00265F7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 w:rsidRPr="00043DBD">
        <w:rPr>
          <w:rFonts w:ascii="Arial Narrow" w:hAnsi="Arial Narrow"/>
        </w:rPr>
        <w:t xml:space="preserve">Węgiel koksowy został uznany przez Unię Europejską za surowiec krytyczny, niezbędny dla produkcji stali oraz bezpieczeństwa gospodarczego i przemysłowego UE. </w:t>
      </w:r>
      <w:r w:rsidR="005B361A">
        <w:rPr>
          <w:rFonts w:ascii="Arial Narrow" w:hAnsi="Arial Narrow"/>
        </w:rPr>
        <w:t xml:space="preserve">Wobec tak powziętej decyzji producenci węgla koksowego, a także jego konsumenci mieli prawo oczekiwać zapewnienia ochrony konkurencyjności i bezpieczeństwa systemowego branży, a nie podejmowania działań zmierzających do stopniowej eliminacji z przestrzeni przemysłowej.  </w:t>
      </w:r>
    </w:p>
    <w:p w14:paraId="0CCEA15E" w14:textId="549094BE" w:rsidR="00043DBD" w:rsidRPr="00043DBD" w:rsidRDefault="005B361A" w:rsidP="00265F7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Nowe</w:t>
      </w:r>
      <w:r w:rsidR="00043DBD" w:rsidRPr="00043DBD">
        <w:rPr>
          <w:rFonts w:ascii="Arial Narrow" w:hAnsi="Arial Narrow"/>
        </w:rPr>
        <w:t xml:space="preserve"> benchmarki EU ETS zwiększają obciążenia producentów koksu, </w:t>
      </w:r>
      <w:r>
        <w:rPr>
          <w:rFonts w:ascii="Arial Narrow" w:hAnsi="Arial Narrow"/>
        </w:rPr>
        <w:t xml:space="preserve">przy jednoczesnym braku mechanizmów </w:t>
      </w:r>
      <w:r w:rsidR="00043DBD" w:rsidRPr="00043DBD">
        <w:rPr>
          <w:rFonts w:ascii="Arial Narrow" w:hAnsi="Arial Narrow"/>
        </w:rPr>
        <w:t>zapewniając</w:t>
      </w:r>
      <w:r>
        <w:rPr>
          <w:rFonts w:ascii="Arial Narrow" w:hAnsi="Arial Narrow"/>
        </w:rPr>
        <w:t>ych</w:t>
      </w:r>
      <w:r w:rsidR="00043DBD" w:rsidRPr="00043DBD">
        <w:rPr>
          <w:rFonts w:ascii="Arial Narrow" w:hAnsi="Arial Narrow"/>
        </w:rPr>
        <w:t xml:space="preserve"> sektorowi adekwatn</w:t>
      </w:r>
      <w:r>
        <w:rPr>
          <w:rFonts w:ascii="Arial Narrow" w:hAnsi="Arial Narrow"/>
        </w:rPr>
        <w:t>ą</w:t>
      </w:r>
      <w:r w:rsidR="00043DBD" w:rsidRPr="00043DBD">
        <w:rPr>
          <w:rFonts w:ascii="Arial Narrow" w:hAnsi="Arial Narrow"/>
        </w:rPr>
        <w:t xml:space="preserve"> ochron</w:t>
      </w:r>
      <w:r>
        <w:rPr>
          <w:rFonts w:ascii="Arial Narrow" w:hAnsi="Arial Narrow"/>
        </w:rPr>
        <w:t>ę</w:t>
      </w:r>
      <w:r w:rsidR="00043DBD" w:rsidRPr="00043DBD">
        <w:rPr>
          <w:rFonts w:ascii="Arial Narrow" w:hAnsi="Arial Narrow"/>
        </w:rPr>
        <w:t xml:space="preserve"> konkurencyjności. </w:t>
      </w:r>
    </w:p>
    <w:p w14:paraId="5EEC6ADE" w14:textId="63EAEC05" w:rsidR="005B361A" w:rsidRPr="005B361A" w:rsidRDefault="008B73EB" w:rsidP="005B361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Działania zmierzające do ograniczania aktywności przemysłowej odbiorców i konsumentów węgla koksowego pozostają w oczywistej sprzeczności z wcześniejszą decyzją, uznającą węgiel koksowy za surowiec krytyczny. </w:t>
      </w:r>
      <w:r w:rsidR="005B361A">
        <w:rPr>
          <w:rFonts w:ascii="Arial Narrow" w:hAnsi="Arial Narrow"/>
        </w:rPr>
        <w:t xml:space="preserve">Eliminacja odbiorców czy konsumentów węgla koksowego doprowadzi do sytuacji w której krytyczność w odniesieniu do węgla koksowego pozostanie pustym sloganem. </w:t>
      </w:r>
    </w:p>
    <w:p w14:paraId="49173809" w14:textId="77777777" w:rsidR="005B361A" w:rsidRDefault="005B361A" w:rsidP="005B361A">
      <w:pPr>
        <w:pStyle w:val="Akapitzlist"/>
        <w:numPr>
          <w:ilvl w:val="0"/>
          <w:numId w:val="7"/>
        </w:numPr>
        <w:ind w:left="426"/>
        <w:jc w:val="both"/>
        <w:rPr>
          <w:rFonts w:ascii="Arial Narrow" w:hAnsi="Arial Narrow"/>
          <w:b/>
          <w:bCs/>
        </w:rPr>
      </w:pPr>
      <w:r w:rsidRPr="00265F7A">
        <w:rPr>
          <w:rFonts w:ascii="Arial Narrow" w:hAnsi="Arial Narrow"/>
          <w:b/>
          <w:bCs/>
        </w:rPr>
        <w:t>Ochrona dobra strategicznego Polski i Unii Europejskiej</w:t>
      </w:r>
    </w:p>
    <w:p w14:paraId="1ACD8D6F" w14:textId="77777777" w:rsidR="005B361A" w:rsidRPr="008B73EB" w:rsidRDefault="005B361A" w:rsidP="005B361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>Polska jest największym producentem netto węgla koksowego i koksu w Unii Europejskiej, a sektor koksowniczy stanowi jeden z filarów bezpieczeństwa surowcowego i przemysłowego</w:t>
      </w:r>
      <w:r>
        <w:rPr>
          <w:rFonts w:ascii="Arial Narrow" w:hAnsi="Arial Narrow"/>
        </w:rPr>
        <w:t xml:space="preserve"> Polski i </w:t>
      </w:r>
      <w:r w:rsidRPr="00265F7A">
        <w:rPr>
          <w:rFonts w:ascii="Arial Narrow" w:hAnsi="Arial Narrow"/>
        </w:rPr>
        <w:t>Europy.</w:t>
      </w:r>
      <w:r>
        <w:rPr>
          <w:rFonts w:ascii="Arial Narrow" w:hAnsi="Arial Narrow"/>
        </w:rPr>
        <w:t xml:space="preserve"> </w:t>
      </w:r>
      <w:r w:rsidRPr="008B73EB">
        <w:rPr>
          <w:rFonts w:ascii="Arial Narrow" w:hAnsi="Arial Narrow"/>
        </w:rPr>
        <w:t xml:space="preserve"> </w:t>
      </w:r>
    </w:p>
    <w:p w14:paraId="5AB79ED5" w14:textId="325E17D1" w:rsidR="005B361A" w:rsidRPr="00265F7A" w:rsidRDefault="005A16B1" w:rsidP="005B361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="005B361A" w:rsidRPr="00265F7A">
        <w:rPr>
          <w:rFonts w:ascii="Arial Narrow" w:hAnsi="Arial Narrow"/>
        </w:rPr>
        <w:t xml:space="preserve">ektor </w:t>
      </w:r>
      <w:r>
        <w:rPr>
          <w:rFonts w:ascii="Arial Narrow" w:hAnsi="Arial Narrow"/>
        </w:rPr>
        <w:t xml:space="preserve">oparty na surowcu krytycznym </w:t>
      </w:r>
      <w:r w:rsidR="005B361A" w:rsidRPr="00265F7A">
        <w:rPr>
          <w:rFonts w:ascii="Arial Narrow" w:hAnsi="Arial Narrow"/>
        </w:rPr>
        <w:t>zamiast korzystać z instrumentów wzmacniających jego konkurencyjność i bezpieczeństwo</w:t>
      </w:r>
      <w:r>
        <w:rPr>
          <w:rFonts w:ascii="Arial Narrow" w:hAnsi="Arial Narrow"/>
        </w:rPr>
        <w:t xml:space="preserve"> </w:t>
      </w:r>
      <w:r w:rsidR="005B361A" w:rsidRPr="00265F7A">
        <w:rPr>
          <w:rFonts w:ascii="Arial Narrow" w:hAnsi="Arial Narrow"/>
        </w:rPr>
        <w:t>funkcjonowania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w praktyce</w:t>
      </w:r>
      <w:r>
        <w:rPr>
          <w:rFonts w:ascii="Arial Narrow" w:hAnsi="Arial Narrow"/>
        </w:rPr>
        <w:t xml:space="preserve"> pozbawiony jest mechanizmów ochronnych oraz dodatkowo obciążany kosztami wynikającymi z regulacji EU ETS</w:t>
      </w:r>
      <w:r w:rsidR="005B361A" w:rsidRPr="00265F7A">
        <w:rPr>
          <w:rFonts w:ascii="Arial Narrow" w:hAnsi="Arial Narrow"/>
        </w:rPr>
        <w:t xml:space="preserve">. </w:t>
      </w:r>
    </w:p>
    <w:p w14:paraId="4FB40B02" w14:textId="3CD232E8" w:rsidR="005B361A" w:rsidRPr="005B361A" w:rsidRDefault="005B361A" w:rsidP="005B361A">
      <w:pPr>
        <w:numPr>
          <w:ilvl w:val="0"/>
          <w:numId w:val="5"/>
        </w:numPr>
        <w:ind w:left="426"/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>Dla Polski ma to szczególne znaczenie, ponieważ węgiel koksowy – obok miedzi – należy do surowców o</w:t>
      </w:r>
      <w:r>
        <w:rPr>
          <w:rFonts w:ascii="Arial Narrow" w:hAnsi="Arial Narrow"/>
        </w:rPr>
        <w:t> </w:t>
      </w:r>
      <w:r w:rsidRPr="00265F7A">
        <w:rPr>
          <w:rFonts w:ascii="Arial Narrow" w:hAnsi="Arial Narrow"/>
        </w:rPr>
        <w:t>strategicznym znaczeniu, którymi dysponuje nasz kraj. Ochrona krajowego sektora koksowniczego jest nie tylko kwestią polityki klimatycznej, lecz również bezpieczeństwa gospodarczego, surowcowego</w:t>
      </w:r>
      <w:r>
        <w:rPr>
          <w:rFonts w:ascii="Arial Narrow" w:hAnsi="Arial Narrow"/>
        </w:rPr>
        <w:t>, społecznego</w:t>
      </w:r>
      <w:r w:rsidRPr="00265F7A">
        <w:rPr>
          <w:rFonts w:ascii="Arial Narrow" w:hAnsi="Arial Narrow"/>
        </w:rPr>
        <w:t xml:space="preserve"> i</w:t>
      </w:r>
      <w:r>
        <w:rPr>
          <w:rFonts w:ascii="Arial Narrow" w:hAnsi="Arial Narrow"/>
        </w:rPr>
        <w:t> </w:t>
      </w:r>
      <w:r w:rsidRPr="00265F7A">
        <w:rPr>
          <w:rFonts w:ascii="Arial Narrow" w:hAnsi="Arial Narrow"/>
        </w:rPr>
        <w:t>przemysłowego</w:t>
      </w:r>
      <w:r>
        <w:rPr>
          <w:rFonts w:ascii="Arial Narrow" w:hAnsi="Arial Narrow"/>
        </w:rPr>
        <w:t>.</w:t>
      </w:r>
    </w:p>
    <w:p w14:paraId="3F709E97" w14:textId="205749B9" w:rsidR="00043DBD" w:rsidRPr="00043DBD" w:rsidRDefault="00265F7A" w:rsidP="00265F7A">
      <w:pPr>
        <w:pStyle w:val="Akapitzlist"/>
        <w:numPr>
          <w:ilvl w:val="0"/>
          <w:numId w:val="7"/>
        </w:numPr>
        <w:ind w:left="426"/>
        <w:jc w:val="both"/>
        <w:rPr>
          <w:rFonts w:ascii="Arial Narrow" w:hAnsi="Arial Narrow"/>
          <w:b/>
          <w:bCs/>
        </w:rPr>
      </w:pPr>
      <w:r w:rsidRPr="00265F7A">
        <w:rPr>
          <w:rFonts w:ascii="Arial Narrow" w:hAnsi="Arial Narrow"/>
          <w:b/>
          <w:bCs/>
        </w:rPr>
        <w:t>Benchmark nieuwzględniający realiów technologicznych</w:t>
      </w:r>
      <w:r>
        <w:rPr>
          <w:rFonts w:ascii="Arial Narrow" w:hAnsi="Arial Narrow"/>
          <w:b/>
          <w:bCs/>
        </w:rPr>
        <w:t xml:space="preserve"> i </w:t>
      </w:r>
      <w:r w:rsidRPr="00265F7A">
        <w:rPr>
          <w:rFonts w:ascii="Arial Narrow" w:hAnsi="Arial Narrow"/>
          <w:b/>
          <w:bCs/>
        </w:rPr>
        <w:t>stanu techniki (BAT)</w:t>
      </w:r>
    </w:p>
    <w:p w14:paraId="1A7E3D7E" w14:textId="77777777" w:rsidR="00265F7A" w:rsidRPr="00265F7A" w:rsidRDefault="00265F7A" w:rsidP="00265F7A">
      <w:pPr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>Przyjęty benchmark:</w:t>
      </w:r>
    </w:p>
    <w:p w14:paraId="7809C956" w14:textId="77777777" w:rsidR="00265F7A" w:rsidRPr="00265F7A" w:rsidRDefault="00265F7A" w:rsidP="00265F7A">
      <w:pPr>
        <w:numPr>
          <w:ilvl w:val="0"/>
          <w:numId w:val="9"/>
        </w:numPr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 xml:space="preserve">nie odpowiada aktualnemu poziomowi rozwoju technologii produkcji koksu, </w:t>
      </w:r>
    </w:p>
    <w:p w14:paraId="2A7DDBC9" w14:textId="77777777" w:rsidR="00265F7A" w:rsidRPr="00265F7A" w:rsidRDefault="00265F7A" w:rsidP="00265F7A">
      <w:pPr>
        <w:numPr>
          <w:ilvl w:val="0"/>
          <w:numId w:val="9"/>
        </w:numPr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 xml:space="preserve">nie uwzględnia najlepszych dostępnych technik (BAT) stosowanych w europejskich koksowniach, </w:t>
      </w:r>
    </w:p>
    <w:p w14:paraId="0FC43535" w14:textId="2F6E220B" w:rsidR="00265F7A" w:rsidRDefault="00265F7A" w:rsidP="00265F7A">
      <w:pPr>
        <w:numPr>
          <w:ilvl w:val="0"/>
          <w:numId w:val="9"/>
        </w:numPr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>pomija technologiczne uwarunkowania procesu koksowania wynikające z właściwości wsadu oraz</w:t>
      </w:r>
      <w:r>
        <w:rPr>
          <w:rFonts w:ascii="Arial Narrow" w:hAnsi="Arial Narrow"/>
        </w:rPr>
        <w:t> </w:t>
      </w:r>
      <w:r w:rsidRPr="00265F7A">
        <w:rPr>
          <w:rFonts w:ascii="Arial Narrow" w:hAnsi="Arial Narrow"/>
        </w:rPr>
        <w:t>wymagań jakościowych dla produkowanego koksu</w:t>
      </w:r>
      <w:r>
        <w:rPr>
          <w:rFonts w:ascii="Arial Narrow" w:hAnsi="Arial Narrow"/>
        </w:rPr>
        <w:t xml:space="preserve">, </w:t>
      </w:r>
    </w:p>
    <w:p w14:paraId="39656518" w14:textId="7E70D458" w:rsidR="00265F7A" w:rsidRPr="00265F7A" w:rsidRDefault="00265F7A" w:rsidP="00265F7A">
      <w:pPr>
        <w:numPr>
          <w:ilvl w:val="0"/>
          <w:numId w:val="9"/>
        </w:numPr>
        <w:jc w:val="both"/>
        <w:rPr>
          <w:rFonts w:ascii="Arial Narrow" w:hAnsi="Arial Narrow"/>
        </w:rPr>
      </w:pPr>
      <w:r w:rsidRPr="00265F7A">
        <w:rPr>
          <w:rFonts w:ascii="Arial Narrow" w:hAnsi="Arial Narrow"/>
        </w:rPr>
        <w:t>został określony bez uwzględnienia technologicznych ograniczeń procesu koksowania oraz</w:t>
      </w:r>
      <w:r>
        <w:rPr>
          <w:rFonts w:ascii="Arial Narrow" w:hAnsi="Arial Narrow"/>
        </w:rPr>
        <w:t> </w:t>
      </w:r>
      <w:r w:rsidRPr="00265F7A">
        <w:rPr>
          <w:rFonts w:ascii="Arial Narrow" w:hAnsi="Arial Narrow"/>
        </w:rPr>
        <w:t>fizykochemicznych właściwości surowca</w:t>
      </w:r>
      <w:r>
        <w:rPr>
          <w:rFonts w:ascii="Arial Narrow" w:hAnsi="Arial Narrow"/>
        </w:rPr>
        <w:t>.</w:t>
      </w:r>
    </w:p>
    <w:sectPr w:rsidR="00265F7A" w:rsidRPr="00265F7A" w:rsidSect="005B361A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F2D28"/>
    <w:multiLevelType w:val="multilevel"/>
    <w:tmpl w:val="3532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37B6F"/>
    <w:multiLevelType w:val="multilevel"/>
    <w:tmpl w:val="2930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C241C"/>
    <w:multiLevelType w:val="hybridMultilevel"/>
    <w:tmpl w:val="0EBED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72E65"/>
    <w:multiLevelType w:val="hybridMultilevel"/>
    <w:tmpl w:val="0EBED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37FF7"/>
    <w:multiLevelType w:val="multilevel"/>
    <w:tmpl w:val="0B7A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8354D"/>
    <w:multiLevelType w:val="multilevel"/>
    <w:tmpl w:val="09CAE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C835BC"/>
    <w:multiLevelType w:val="hybridMultilevel"/>
    <w:tmpl w:val="B534FD6E"/>
    <w:lvl w:ilvl="0" w:tplc="15409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568D8"/>
    <w:multiLevelType w:val="hybridMultilevel"/>
    <w:tmpl w:val="7FE84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D05BF"/>
    <w:multiLevelType w:val="multilevel"/>
    <w:tmpl w:val="21C8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412113">
    <w:abstractNumId w:val="7"/>
  </w:num>
  <w:num w:numId="2" w16cid:durableId="467624372">
    <w:abstractNumId w:val="6"/>
  </w:num>
  <w:num w:numId="3" w16cid:durableId="601062980">
    <w:abstractNumId w:val="5"/>
  </w:num>
  <w:num w:numId="4" w16cid:durableId="1378309675">
    <w:abstractNumId w:val="4"/>
  </w:num>
  <w:num w:numId="5" w16cid:durableId="378092852">
    <w:abstractNumId w:val="8"/>
  </w:num>
  <w:num w:numId="6" w16cid:durableId="2139833604">
    <w:abstractNumId w:val="1"/>
  </w:num>
  <w:num w:numId="7" w16cid:durableId="1175075273">
    <w:abstractNumId w:val="3"/>
  </w:num>
  <w:num w:numId="8" w16cid:durableId="1815247638">
    <w:abstractNumId w:val="2"/>
  </w:num>
  <w:num w:numId="9" w16cid:durableId="469791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8F"/>
    <w:rsid w:val="00043DBD"/>
    <w:rsid w:val="00264963"/>
    <w:rsid w:val="00265F7A"/>
    <w:rsid w:val="00393206"/>
    <w:rsid w:val="005A16B1"/>
    <w:rsid w:val="005B361A"/>
    <w:rsid w:val="0061015F"/>
    <w:rsid w:val="008044E9"/>
    <w:rsid w:val="008B73EB"/>
    <w:rsid w:val="00987F8F"/>
    <w:rsid w:val="009E2160"/>
    <w:rsid w:val="00F3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21E2"/>
  <w15:chartTrackingRefBased/>
  <w15:docId w15:val="{89C78385-CBEF-4F6E-9A34-65F61F68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7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F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F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F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F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F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F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F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F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7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7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7F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F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7F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F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F8F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265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Surmik</dc:creator>
  <cp:keywords/>
  <dc:description/>
  <cp:lastModifiedBy>Paulina Surmik</cp:lastModifiedBy>
  <cp:revision>2</cp:revision>
  <cp:lastPrinted>2026-07-01T12:26:00Z</cp:lastPrinted>
  <dcterms:created xsi:type="dcterms:W3CDTF">2026-07-01T10:24:00Z</dcterms:created>
  <dcterms:modified xsi:type="dcterms:W3CDTF">2026-07-01T13:05:00Z</dcterms:modified>
</cp:coreProperties>
</file>